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B0" w:rsidRDefault="003B6AB0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bookmarkStart w:id="0" w:name="_GoBack"/>
      <w:bookmarkEnd w:id="0"/>
      <w:r w:rsidRPr="003B6AB0">
        <w:rPr>
          <w:rFonts w:ascii="Bookman Old Style" w:eastAsia="Times New Roman" w:hAnsi="Bookman Old Style" w:cs="Arial"/>
          <w:b/>
          <w:bCs/>
          <w:noProof/>
          <w:color w:val="005EA5"/>
          <w:kern w:val="36"/>
          <w:sz w:val="40"/>
          <w:szCs w:val="38"/>
          <w:lang w:eastAsia="ru-RU"/>
        </w:rPr>
        <w:drawing>
          <wp:inline distT="0" distB="0" distL="0" distR="0">
            <wp:extent cx="5940425" cy="2122382"/>
            <wp:effectExtent l="0" t="0" r="3175" b="0"/>
            <wp:docPr id="1" name="Рисунок 1" descr="C:\Users\Елена\Desktop\min_obr_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min_obr_R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Постановление Правительства РФ от 05.08.2013 N 662</w:t>
      </w:r>
    </w:p>
    <w:p w:rsid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"Об осуществлении мониторинга системы образования"</w:t>
      </w:r>
    </w:p>
    <w:p w:rsidR="00BD42B6" w:rsidRP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(вместе с "Правилами осуществления мониторинга системы образования")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1" w:name="100001"/>
      <w:bookmarkEnd w:id="1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ПРАВИТЕЛЬСТВО РОССИЙСКОЙ ФЕДЕРАЦИИ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2" w:name="100002"/>
      <w:bookmarkEnd w:id="2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ПОСТАНОВЛЕНИЕ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ОБ ОСУЩЕСТВЛЕНИИ МОНИТОРИНГА СИСТЕМЫ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 </w:t>
      </w:r>
      <w:hyperlink r:id="rId5" w:anchor="101322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5 статьи 97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Утвердить прилагаемые:</w:t>
      </w:r>
    </w:p>
    <w:bookmarkStart w:id="3" w:name="100006"/>
    <w:bookmarkEnd w:id="3"/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"100012" </w:instrTex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осуществления мониторинга системы образования;</w:t>
      </w:r>
    </w:p>
    <w:bookmarkStart w:id="4" w:name="100007"/>
    <w:bookmarkEnd w:id="4"/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"100034" </w:instrTex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перечень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обязательной информации о системе образования, подлежащей мониторингу.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8"/>
      <w:bookmarkEnd w:id="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" w:name="100009"/>
      <w:bookmarkEnd w:id="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Настоящее постановление вступает в силу с 1 сентября 2013 г.</w:t>
      </w: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" w:name="100010"/>
      <w:bookmarkEnd w:id="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Председатель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Д.МЕДВЕДЕВ</w:t>
      </w: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" w:name="100011"/>
      <w:bookmarkEnd w:id="8"/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Утверждены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постановлением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9" w:name="100012"/>
      <w:bookmarkEnd w:id="9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ПРАВИЛА ОСУЩЕСТВЛЕНИЯ МОНИТОРИНГА СИСТЕМЫ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" w:name="100013"/>
      <w:bookmarkEnd w:id="1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Настоящие Правила устанавливают порядок осуществления мониторинга системы образования (далее - мониторинг).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" w:name="100014"/>
      <w:bookmarkEnd w:id="1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" w:name="100015"/>
      <w:bookmarkEnd w:id="1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3" w:name="100016"/>
      <w:bookmarkEnd w:id="1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4. 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4" w:name="100017"/>
      <w:bookmarkEnd w:id="1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Показатели мониторинга системы образования и методика их расчета определяются Министерством образования и науки Российской Федерации в соответствии 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с 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"100034" </w:instrTex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перечнем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обязательной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информации о системе образования, подлежащей мониторингу, утвержденным постановлением Правительства Российской Федерации от 5 августа 2013 г. N 662.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5" w:name="100018"/>
      <w:bookmarkEnd w:id="1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5. 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 </w:t>
      </w:r>
      <w:hyperlink r:id="rId6" w:anchor="100176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1 статьи 10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 </w:t>
      </w:r>
      <w:hyperlink r:id="rId7" w:anchor="101060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 81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Федерального закона "Об образовании в Российской Федерации" (далее - федеральные государственные организации).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6" w:name="100019"/>
      <w:bookmarkEnd w:id="1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7" w:name="100020"/>
      <w:bookmarkEnd w:id="1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8" w:name="100021"/>
      <w:bookmarkEnd w:id="1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9" w:name="100022"/>
      <w:bookmarkEnd w:id="1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 </w:t>
      </w:r>
      <w:hyperlink r:id="rId8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"Об образовании в Российской Федерации".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0" w:name="100023"/>
      <w:bookmarkEnd w:id="2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1" w:name="100024"/>
      <w:bookmarkEnd w:id="2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 </w:t>
      </w:r>
      <w:hyperlink r:id="rId9" w:anchor="100034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перечнем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, указанным в </w:t>
      </w:r>
      <w:hyperlink r:id="rId10" w:anchor="100016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пункте 4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настоящих Правил.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2" w:name="100025"/>
      <w:bookmarkEnd w:id="2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3" w:name="100026"/>
      <w:bookmarkEnd w:id="2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4" w:name="100027"/>
      <w:bookmarkEnd w:id="2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форме,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5" w:name="100028"/>
      <w:bookmarkEnd w:id="2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6" w:name="100029"/>
      <w:bookmarkEnd w:id="2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7" w:name="100030"/>
      <w:bookmarkEnd w:id="2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 федеральных государственных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8" w:name="100031"/>
      <w:bookmarkEnd w:id="2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10. 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9" w:name="100032"/>
      <w:bookmarkEnd w:id="2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 целях обеспечения информационной открытости отчет о результатах мониторинга размещается на официальном сайте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0" w:name="100033"/>
      <w:bookmarkEnd w:id="3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Утвержден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постановлением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ПЕРЕЧЕНЬ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ОБЯЗАТЕЛЬНОЙ ИНФОРМАЦИИ О СИСТЕМЕ ОБРАЗОВАНИЯ,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ПОДЛЕЖАЩЕЙ МОНИТОРИНГУ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I. Общее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1" w:name="100036"/>
      <w:bookmarkEnd w:id="3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Сведения о развитии дошкольного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2" w:name="100037"/>
      <w:bookmarkEnd w:id="3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3" w:name="100038"/>
      <w:bookmarkEnd w:id="3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4" w:name="100039"/>
      <w:bookmarkEnd w:id="3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5" w:name="100040"/>
      <w:bookmarkEnd w:id="3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дошкольных образовательных организаций;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6" w:name="100041"/>
      <w:bookmarkEnd w:id="3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дошкольного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7" w:name="100042"/>
      <w:bookmarkEnd w:id="3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состояние здоровья лиц, обучающихся по программам дошкольного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8" w:name="100043"/>
      <w:bookmarkEnd w:id="3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9" w:name="100044"/>
      <w:bookmarkEnd w:id="3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дошкольных образовательных организаций;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0" w:name="100045"/>
      <w:bookmarkEnd w:id="4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1" w:name="100046"/>
      <w:bookmarkEnd w:id="4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2" w:name="100047"/>
      <w:bookmarkEnd w:id="4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3" w:name="100048"/>
      <w:bookmarkEnd w:id="4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4" w:name="100049"/>
      <w:bookmarkEnd w:id="4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5" w:name="100050"/>
      <w:bookmarkEnd w:id="4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6" w:name="100051"/>
      <w:bookmarkEnd w:id="4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7" w:name="100052"/>
      <w:bookmarkEnd w:id="4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8" w:name="100053"/>
      <w:bookmarkEnd w:id="4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ж) состояние здоровья лиц, обучающихся по основным общеобразовательным программам,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здоровьесберегающие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9" w:name="100054"/>
      <w:bookmarkEnd w:id="4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0" w:name="100055"/>
      <w:bookmarkEnd w:id="5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1" w:name="100056"/>
      <w:bookmarkEnd w:id="5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к) создание безопасных условий при организации образовательного процесса в общеобразовательных организациях.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2" w:name="100057"/>
      <w:bookmarkEnd w:id="5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II. Профессиональное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3" w:name="100058"/>
      <w:bookmarkEnd w:id="5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Сведения о развитии среднего профессионального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4" w:name="100059"/>
      <w:bookmarkEnd w:id="5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5" w:name="100060"/>
      <w:bookmarkEnd w:id="5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6" w:name="100061"/>
      <w:bookmarkEnd w:id="5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7" w:name="100062"/>
      <w:bookmarkEnd w:id="5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8" w:name="100063"/>
      <w:bookmarkEnd w:id="5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9" w:name="100064"/>
      <w:bookmarkEnd w:id="5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е)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0" w:name="100065"/>
      <w:bookmarkEnd w:id="6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1" w:name="100066"/>
      <w:bookmarkEnd w:id="6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2" w:name="100067"/>
      <w:bookmarkEnd w:id="6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3" w:name="100068"/>
      <w:bookmarkEnd w:id="6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4" w:name="100069"/>
      <w:bookmarkEnd w:id="6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4. Сведения о развитии высшего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5" w:name="100070"/>
      <w:bookmarkEnd w:id="6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высшего образования и численность населения, получающего высшее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6" w:name="100071"/>
      <w:bookmarkEnd w:id="6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7" w:name="100072"/>
      <w:bookmarkEnd w:id="6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8" w:name="100073"/>
      <w:bookmarkEnd w:id="6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9" w:name="100074"/>
      <w:bookmarkEnd w:id="6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0" w:name="100075"/>
      <w:bookmarkEnd w:id="7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е)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1" w:name="100076"/>
      <w:bookmarkEnd w:id="7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2" w:name="100077"/>
      <w:bookmarkEnd w:id="7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3" w:name="100078"/>
      <w:bookmarkEnd w:id="7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4" w:name="100079"/>
      <w:bookmarkEnd w:id="7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5" w:name="100080"/>
      <w:bookmarkEnd w:id="7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III. Дополнительное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6" w:name="100081"/>
      <w:bookmarkEnd w:id="7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5. Сведения о развитии дополнительного образования детей и взрослых: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7" w:name="100082"/>
      <w:bookmarkEnd w:id="7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дополнительным общеобразовательным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8" w:name="100083"/>
      <w:bookmarkEnd w:id="7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9" w:name="100084"/>
      <w:bookmarkEnd w:id="7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0" w:name="100085"/>
      <w:bookmarkEnd w:id="8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1" w:name="100086"/>
      <w:bookmarkEnd w:id="8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2" w:name="100087"/>
      <w:bookmarkEnd w:id="8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3" w:name="100088"/>
      <w:bookmarkEnd w:id="8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4" w:name="100089"/>
      <w:bookmarkEnd w:id="8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5" w:name="100090"/>
      <w:bookmarkEnd w:id="8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и)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лиц, обучающихся по программам дополнительного образования детей.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6" w:name="100091"/>
      <w:bookmarkEnd w:id="8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6. Сведения о развитии дополнительного профессионального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7" w:name="100092"/>
      <w:bookmarkEnd w:id="8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дополнительным профессиональным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8" w:name="100093"/>
      <w:bookmarkEnd w:id="8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9" w:name="100094"/>
      <w:bookmarkEnd w:id="8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0" w:name="100095"/>
      <w:bookmarkEnd w:id="9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1" w:name="100096"/>
      <w:bookmarkEnd w:id="9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2" w:name="100097"/>
      <w:bookmarkEnd w:id="9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3" w:name="100098"/>
      <w:bookmarkEnd w:id="9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4" w:name="100099"/>
      <w:bookmarkEnd w:id="9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5" w:name="100100"/>
      <w:bookmarkEnd w:id="9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6" w:name="100101"/>
      <w:bookmarkEnd w:id="9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IV. Профессиональное обучение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7" w:name="100102"/>
      <w:bookmarkEnd w:id="9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7. Сведения о развитии профессионального обучения: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8" w:name="100103"/>
      <w:bookmarkEnd w:id="9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программам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9" w:name="100104"/>
      <w:bookmarkEnd w:id="9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0" w:name="100105"/>
      <w:bookmarkEnd w:id="10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1" w:name="100106"/>
      <w:bookmarkEnd w:id="10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2" w:name="100107"/>
      <w:bookmarkEnd w:id="10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профессионального обучения лиц с ограниченными возможностями здоровья и инвалидов;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3" w:name="100108"/>
      <w:bookmarkEnd w:id="10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4" w:name="100109"/>
      <w:bookmarkEnd w:id="10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5" w:name="100110"/>
      <w:bookmarkEnd w:id="10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6" w:name="100111"/>
      <w:bookmarkEnd w:id="10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сведения о представителях работодателей, участвующих в учебном процессе.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7" w:name="100112"/>
      <w:bookmarkEnd w:id="10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V. Дополнительная информация о системе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8" w:name="100113"/>
      <w:bookmarkEnd w:id="10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8. Сведения об интеграции образования и науки, а также образования и сферы труда: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9" w:name="100114"/>
      <w:bookmarkEnd w:id="10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интеграция образования и науки;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0" w:name="100115"/>
      <w:bookmarkEnd w:id="11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1" w:name="100116"/>
      <w:bookmarkEnd w:id="11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9. Сведения об интеграции российского образования с мировым образовательным пространством.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2" w:name="100117"/>
      <w:bookmarkEnd w:id="11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10. Развитие системы оценки качества образования и информационной прозрачности системы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3" w:name="100118"/>
      <w:bookmarkEnd w:id="11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оценка деятельности системы образования гражданами;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4" w:name="100119"/>
      <w:bookmarkEnd w:id="11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5" w:name="100120"/>
      <w:bookmarkEnd w:id="11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развитие механизмов государственно-частного управления в системе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6" w:name="100121"/>
      <w:bookmarkEnd w:id="11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развитие региональных систем оценки качества образования.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7" w:name="100122"/>
      <w:bookmarkEnd w:id="11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8" w:name="100123"/>
      <w:bookmarkEnd w:id="11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социально-демографические характеристики и социальная интеграция;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9" w:name="100124"/>
      <w:bookmarkEnd w:id="11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ценностные ориентации молодежи и ее участие в общественных достижениях;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0" w:name="100125"/>
      <w:bookmarkEnd w:id="12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образование и занятость молодежи;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1" w:name="100126"/>
      <w:bookmarkEnd w:id="12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</w:p>
    <w:p w:rsid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before="450" w:after="150" w:line="390" w:lineRule="atLeast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005EA5"/>
          <w:sz w:val="32"/>
          <w:szCs w:val="30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sz w:val="32"/>
          <w:szCs w:val="30"/>
          <w:lang w:eastAsia="ru-RU"/>
        </w:rPr>
        <w:t>Судебная практика и законодательство — Постановление Правительства РФ от 05.08.2013 N 662 "Об осуществлении мониторинга системы образования" (вместе с "Правилами осуществления мониторинга системы образования")</w:t>
      </w:r>
    </w:p>
    <w:p w:rsidR="00BD42B6" w:rsidRPr="00BD42B6" w:rsidRDefault="00BD42B6" w:rsidP="00BD42B6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sz w:val="26"/>
          <w:szCs w:val="24"/>
          <w:lang w:eastAsia="ru-RU"/>
        </w:rPr>
      </w:pP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1" w:anchor="10000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14.03.2017 N ЛО-544/05 "О проведении мониторинга эффективности образовательных организаций высшего образования в 2017 году"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2" w:name="100004"/>
      <w:bookmarkEnd w:id="122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В целях обеспечения реализации </w:t>
      </w:r>
      <w:hyperlink r:id="rId12" w:anchor="100012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постановления</w:t>
        </w:r>
      </w:hyperlink>
      <w:r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Правительства Российской Федерации от 5 августа 2013 г. N 662 "Об осуществлении мониторинга системы образования", а также </w:t>
      </w:r>
      <w:hyperlink r:id="rId13" w:anchor="100892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раздела V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 "Изменения в сфере высшего образования, направленные на повышение эффективности и качества услуг в сфере образования, соотнесенные с этапами перехода к эффективному контракту" плана мероприятий ("дорожной карты") "Изменения в отраслях социальной сферы, направленные на повышение эффективности образования и науки", утвержденного распоряжением Правительства Российской Федерации от 30 апреля 2014 г. N 722-р, и исполнения приказа </w:t>
      </w:r>
      <w:proofErr w:type="spellStart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России от 13 марта 2017 г. N 222 "О проведении мониторинга эффективности образовательных организаций высшего образования" прошу обеспечить предоставление информации о деятельности образовательных организаций высшего образования (включая деятельность филиалов) в соответствии с инструктивным письмом </w:t>
      </w:r>
      <w:hyperlink r:id="rId14" w:anchor="100007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(приложение)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в срок до 14 апреля 2017 года.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5" w:anchor="100003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"Методические указания по заполнению формы "Мониторинг по основным направлениям деятельности образовательной организации высшего образования за 2016 г. (форма N 1-Мониторинг)" (утв.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14.03.2017 N ЛО-26/05вн)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3" w:name="100003"/>
      <w:bookmarkEnd w:id="123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Методические указания по заполнению формы "Мониторинг по основным направлениям деятельности образовательной организации высшего образования за 2016 г. (форма N 1-Мониторинг)" разработаны в целях обеспечения реализации Федерального </w:t>
      </w:r>
      <w:hyperlink r:id="rId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 от 29.12.2013 г. N 273-ФЗ "Об 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t>образовании в Российской Федерации", </w:t>
      </w:r>
      <w:proofErr w:type="spellStart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begin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"http://legalacts.ru/doc/postanovlenie-pravitelstva-rf-ot-05082013-n-662/" </w:instrTex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постановления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Правительства</w:t>
      </w:r>
      <w:proofErr w:type="spellEnd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Российской Федерации от 05.08.2013 г. N 662 "Об осуществлении мониторинга системы образования".</w:t>
      </w: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7" w:anchor="10003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28.09.2016 N 1230 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надзора в сфере образования</w:t>
        </w:r>
      </w:hyperlink>
    </w:p>
    <w:p w:rsidR="00BD42B6" w:rsidRPr="00BD42B6" w:rsidRDefault="00FC4688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8" w:anchor="100016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4378);</w:t>
      </w:r>
    </w:p>
    <w:p w:rsidR="00BD42B6" w:rsidRPr="00BD42B6" w:rsidRDefault="00FC4688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9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20 августа 2013 г. N 719 "О государственной информационной системе государственного надзора в сфере образования" (Собрание законодательства Российской Федерации, 2013, N 34, ст. 4448) (далее - постановление N 719);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0" w:anchor="100143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26.07.2016 N 900 (ред. от 13.07.2017) Об утверждении федерального государственного образовательного стандарта высшего образования по направлению подготовки 17.06.01 Оружие и системы вооружения (уровень подготовки кадров высшей квалификации)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4" w:name="100143"/>
      <w:bookmarkEnd w:id="124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1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2" w:anchor="10003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06.07.2016 N 822 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контроля качества образования</w:t>
        </w:r>
      </w:hyperlink>
    </w:p>
    <w:bookmarkStart w:id="125" w:name="100034"/>
    <w:bookmarkEnd w:id="125"/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begin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"http://legalacts.ru/doc/postanovlenie-pravitelstva-rf-ot-05082013-n-662/" \l "100021" </w:instrTex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постановлением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4378);</w:t>
      </w:r>
    </w:p>
    <w:bookmarkStart w:id="126" w:name="100035"/>
    <w:bookmarkEnd w:id="126"/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begin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"http://legalacts.ru/doc/postanovlenie-pravitelstva-rf-ot-18112013-n-1039/" \l "100091" </w:instrTex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постановлением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18 ноября 2013 г. N 1039 "О государственной аккредитации образовательной деятельности" (Собрание законодательства Российской Федерации, 2013, N 47, ст. 6118; 2015, N 3, ст. 576; N 38, ст. 5283) (далее - Положение о государственной аккредитации);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br/>
      </w: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3" w:anchor="100005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15.01.2014 N 14 (ред. от 09.11.2016) Об утверждении показателей мониторинга системы образования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7" w:name="100005"/>
      <w:bookmarkEnd w:id="127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В соответствии с </w:t>
      </w:r>
      <w:hyperlink r:id="rId24" w:anchor="100017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4378), приказываю: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5" w:anchor="100185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08.04.2015 N 369 (ред. от 20.04.2016) Об утверждении федерального государственного образовательного стандарта высшего образования по направлению подготовки 39.04.02 Социальная работа (уровень магистратуры)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8" w:name="100185"/>
      <w:bookmarkEnd w:id="128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6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7" w:anchor="100217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06.03.2015 N 177 (ред. от 20.04.2016) Об утверждении федерального государственного образовательного стандарта высшего образования по направлению подготовки 28.03.01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Нанотехнологии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и микросистемная техника (уровень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бакалавриата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9" w:name="100217"/>
      <w:bookmarkEnd w:id="129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8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9" w:anchor="100209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30.03.2015 N 323 (ред. от 13.07.2017) Об утверждении федерального государственного образовательного стандарта высшего образования по направлению подготовки 38.04.06 Торговое дело (уровень магистратуры)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30" w:name="100209"/>
      <w:bookmarkEnd w:id="130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30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FC4688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31" w:anchor="10021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06.03.2015 N 169 (ред. от 20.04.2016) Об утверждении федерального государственного образовательного стандарта высшего образования по направлению подготовки 35.03.09 Промышленное рыболовство (уровень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бакалавриата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31" w:name="100214"/>
      <w:bookmarkEnd w:id="131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t>&lt;1&gt; </w:t>
      </w:r>
      <w:hyperlink r:id="rId32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812476" w:rsidRPr="00BD42B6" w:rsidRDefault="00812476">
      <w:pPr>
        <w:rPr>
          <w:rFonts w:ascii="Bookman Old Style" w:hAnsi="Bookman Old Style"/>
        </w:rPr>
      </w:pPr>
    </w:p>
    <w:sectPr w:rsidR="00812476" w:rsidRPr="00BD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B6"/>
    <w:rsid w:val="003B6AB0"/>
    <w:rsid w:val="00812476"/>
    <w:rsid w:val="00BD42B6"/>
    <w:rsid w:val="00F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FBB1C-7A7E-4D75-A0A2-DBB21F56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rasporjazhenie-pravitelstva-rf-ot-30042014-n-722-r/" TargetMode="External"/><Relationship Id="rId18" Type="http://schemas.openxmlformats.org/officeDocument/2006/relationships/hyperlink" Target="http://legalacts.ru/doc/postanovlenie-pravitelstva-rf-ot-05082013-n-662/" TargetMode="External"/><Relationship Id="rId26" Type="http://schemas.openxmlformats.org/officeDocument/2006/relationships/hyperlink" Target="http://legalacts.ru/doc/postanovlenie-pravitelstva-rf-ot-05082013-n-66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ostanovlenie-pravitelstva-rf-ot-05082013-n-66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egalacts.ru/doc/273_FZ-ob-obrazovanii/glava-11/statja-81/" TargetMode="External"/><Relationship Id="rId12" Type="http://schemas.openxmlformats.org/officeDocument/2006/relationships/hyperlink" Target="http://legalacts.ru/doc/postanovlenie-pravitelstva-rf-ot-05082013-n-662/" TargetMode="External"/><Relationship Id="rId17" Type="http://schemas.openxmlformats.org/officeDocument/2006/relationships/hyperlink" Target="http://legalacts.ru/doc/prikaz-minobrnauki-rossii-ot-28092016-n-1230/" TargetMode="External"/><Relationship Id="rId25" Type="http://schemas.openxmlformats.org/officeDocument/2006/relationships/hyperlink" Target="http://legalacts.ru/doc/prikaz-minobrnauki-rossii-ot-08042015-n-369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273_FZ-ob-obrazovanii/" TargetMode="External"/><Relationship Id="rId20" Type="http://schemas.openxmlformats.org/officeDocument/2006/relationships/hyperlink" Target="http://legalacts.ru/doc/prikaz-minobrnauki-rossii-ot-26072016-n-900/" TargetMode="External"/><Relationship Id="rId29" Type="http://schemas.openxmlformats.org/officeDocument/2006/relationships/hyperlink" Target="http://legalacts.ru/doc/prikaz-minobrnauki-rossii-ot-30032015-n-323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2/statja-10/" TargetMode="External"/><Relationship Id="rId11" Type="http://schemas.openxmlformats.org/officeDocument/2006/relationships/hyperlink" Target="http://legalacts.ru/doc/pismo-minobrnauki-rossii-ot-14032017-n-lo-54405-o-provedenii/" TargetMode="External"/><Relationship Id="rId24" Type="http://schemas.openxmlformats.org/officeDocument/2006/relationships/hyperlink" Target="http://legalacts.ru/doc/postanovlenie-pravitelstva-rf-ot-05082013-n-662/" TargetMode="External"/><Relationship Id="rId32" Type="http://schemas.openxmlformats.org/officeDocument/2006/relationships/hyperlink" Target="http://legalacts.ru/doc/postanovlenie-pravitelstva-rf-ot-05082013-n-662/" TargetMode="External"/><Relationship Id="rId5" Type="http://schemas.openxmlformats.org/officeDocument/2006/relationships/hyperlink" Target="http://legalacts.ru/doc/273_FZ-ob-obrazovanii/glava-12/statja-97/" TargetMode="External"/><Relationship Id="rId15" Type="http://schemas.openxmlformats.org/officeDocument/2006/relationships/hyperlink" Target="http://legalacts.ru/doc/metodicheskie-ukazanija-po-zapolneniiu-formy-monitoring-po-osnovnym-napravlenijam/" TargetMode="External"/><Relationship Id="rId23" Type="http://schemas.openxmlformats.org/officeDocument/2006/relationships/hyperlink" Target="http://legalacts.ru/doc/prikaz-minobrnauki-rossii-ot-15012014-n-14/" TargetMode="External"/><Relationship Id="rId28" Type="http://schemas.openxmlformats.org/officeDocument/2006/relationships/hyperlink" Target="http://legalacts.ru/doc/postanovlenie-pravitelstva-rf-ot-05082013-n-662/" TargetMode="External"/><Relationship Id="rId10" Type="http://schemas.openxmlformats.org/officeDocument/2006/relationships/hyperlink" Target="http://legalacts.ru/doc/postanovlenie-pravitelstva-rf-ot-05082013-n-662/" TargetMode="External"/><Relationship Id="rId19" Type="http://schemas.openxmlformats.org/officeDocument/2006/relationships/hyperlink" Target="http://legalacts.ru/doc/postanovlenie-pravitelstva-rf-ot-20082013-n-719/" TargetMode="External"/><Relationship Id="rId31" Type="http://schemas.openxmlformats.org/officeDocument/2006/relationships/hyperlink" Target="http://legalacts.ru/doc/prikaz-minobrnauki-rossii-ot-06032015-n-169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egalacts.ru/doc/postanovlenie-pravitelstva-rf-ot-05082013-n-662/" TargetMode="External"/><Relationship Id="rId14" Type="http://schemas.openxmlformats.org/officeDocument/2006/relationships/hyperlink" Target="http://legalacts.ru/doc/pismo-minobrnauki-rossii-ot-14032017-n-lo-54405-o-provedenii/" TargetMode="External"/><Relationship Id="rId22" Type="http://schemas.openxmlformats.org/officeDocument/2006/relationships/hyperlink" Target="http://legalacts.ru/doc/prikaz-minobrnauki-rossii-ot-06072016-n-822/" TargetMode="External"/><Relationship Id="rId27" Type="http://schemas.openxmlformats.org/officeDocument/2006/relationships/hyperlink" Target="http://legalacts.ru/doc/prikaz-minobrnauki-rossii-ot-06032015-n-177/" TargetMode="External"/><Relationship Id="rId30" Type="http://schemas.openxmlformats.org/officeDocument/2006/relationships/hyperlink" Target="http://legalacts.ru/doc/postanovlenie-pravitelstva-rf-ot-05082013-n-662/" TargetMode="External"/><Relationship Id="rId8" Type="http://schemas.openxmlformats.org/officeDocument/2006/relationships/hyperlink" Target="http://legalacts.ru/doc/273_FZ-ob-obrazova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4663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Школа</cp:lastModifiedBy>
  <cp:revision>2</cp:revision>
  <dcterms:created xsi:type="dcterms:W3CDTF">2018-12-28T14:56:00Z</dcterms:created>
  <dcterms:modified xsi:type="dcterms:W3CDTF">2018-12-28T14:56:00Z</dcterms:modified>
</cp:coreProperties>
</file>